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leviticus-18"/>
    <w:p>
      <w:pPr>
        <w:pStyle w:val="Heading1"/>
      </w:pPr>
      <w:r>
        <w:t xml:space="preserve">Homiletics Analysis: Leviticus 18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w:t>
      </w:r>
      <w:r>
        <w:t xml:space="preserve"> </w:t>
      </w:r>
      <w:r>
        <w:t xml:space="preserve">Leviticus 18 sits within the Holiness Code (Leviticus 17–26), the central legislative-theological section of the book. Chapter 17 established that all blood belongs to the LORD and that Israel’s worship must be centralized and regulated. Chapters 19–20 will extend holiness to the full social fabric of Israel’s life. Chapter 18 functions as the moral-theological threshold of that broader unit: before the LORD can say</w:t>
      </w:r>
      <w:r>
        <w:t xml:space="preserve"> </w:t>
      </w:r>
      <w:r>
        <w:t xml:space="preserve">“be holy as I am holy”</w:t>
      </w:r>
      <w:r>
        <w:t xml:space="preserve"> </w:t>
      </w:r>
      <w:r>
        <w:t xml:space="preserve">(19:2), He first exposes the specific sexual and relational disorder that defines the pagan world Israel is entering and from which Israel must be entirely separate. The chapter is not peripheral legislation — it is the foundational demarcation of covenant distinctiveness.</w:t>
      </w:r>
    </w:p>
    <w:p>
      <w:pPr>
        <w:pStyle w:val="BodyText"/>
      </w:pPr>
      <w:r>
        <w:rPr>
          <w:b/>
          <w:bCs/>
        </w:rPr>
        <w:t xml:space="preserve">This Text — Content:</w:t>
      </w:r>
      <w:r>
        <w:t xml:space="preserve"> </w:t>
      </w:r>
      <w:r>
        <w:t xml:space="preserve">Leviticus 18 opens and closes with a framing statement (vv. 1–5 and vv. 24–30) that gives the chapter its interpretive structure: the LORD identifies Himself as Israel’s God, contrasts Egypt (behind) with Canaan (ahead), and calls Israel to walk in His statutes rather than the statutes of the nations. Between these frames (vv. 6–23), He issues a comprehensive set of prohibitions governing sexual relations: incest in its many forms (vv. 6–18), sexual relations during menstruation (v. 19), adultery (v. 20), child sacrifice to Molech (v. 21), male homosexual practice (v. 22), and bestiality (v. 23). The chapter closes with the theological weight of these prohibitions: the land itself has been defiled by the Canaanites’ practice of these things, the land vomited them out, and it will vomit Israel out too if Israel does the same. The LORD’s ownership of the land and the people is asserted with full solemnity.</w:t>
      </w:r>
    </w:p>
    <w:p>
      <w:pPr>
        <w:pStyle w:val="BodyText"/>
      </w:pPr>
      <w:r>
        <w:rPr>
          <w:b/>
          <w:bCs/>
        </w:rPr>
        <w:t xml:space="preserve">This Text — Intent:</w:t>
      </w:r>
      <w:r>
        <w:t xml:space="preserve"> </w:t>
      </w:r>
      <w:r>
        <w:t xml:space="preserve">God’s intent through this chapter is not merely to legislate sexual ethics. He is constituting Israel as a genuinely distinct people — a people whose bodily and relational life reflects the character of the God who owns them, the land they inhabit, and the redemption that defined them. God is calling Israel (and through Israel, His covenant people in every age) to see that holiness is not primarily a cultic or ritual category but an embodied, relational one — that the sexual and familial order He establishes is not arbitrary restriction but the shape of creaturely flourishing under His design. The prohibitions expose what the pagan world normalized as defilement, and they press the reader to ask: whose statutes are you living by, and whose image are they forming in you?</w:t>
      </w:r>
    </w:p>
    <w:p>
      <w:r>
        <w:pict>
          <v:rect style="width:0;height:1.5pt" o:hralign="center" o:hrstd="t" o:hr="t"/>
        </w:pict>
      </w:r>
    </w:p>
    <w:p>
      <w:pPr>
        <w:pStyle w:val="FirstParagraph"/>
      </w:pPr>
      <w:r>
        <w:rPr>
          <w:b/>
          <w:bCs/>
        </w:rPr>
        <w:t xml:space="preserve">Subject Sentence:</w:t>
      </w:r>
      <w:r>
        <w:t xml:space="preserve"> </w:t>
      </w:r>
      <w:r>
        <w:t xml:space="preserve">The LORD separates Israel from the nations by marking the boundaries of sexual holiness.</w:t>
      </w:r>
    </w:p>
    <w:p>
      <w:r>
        <w:pict>
          <v:rect style="width:0;height:1.5pt" o:hralign="center" o:hrstd="t" o:hr="t"/>
        </w:pict>
      </w:r>
    </w:p>
    <w:p>
      <w:pPr>
        <w:pStyle w:val="FirstParagraph"/>
      </w:pPr>
      <w:r>
        <w:rPr>
          <w:b/>
          <w:bCs/>
        </w:rPr>
        <w:t xml:space="preserve">Primary Claim:</w:t>
      </w:r>
      <w:r>
        <w:t xml:space="preserve"> </w:t>
      </w:r>
      <w:r>
        <w:t xml:space="preserve">God is confronting His people with the full weight of His sexual and relational order — calling them to see that covenant faithfulness is embodied, that the surrounding world’s norms are defiling, and that the statutes of the LORD alone are life.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On the framing statutes (vv. 4–5) and</w:t>
      </w:r>
      <w:r>
        <w:rPr>
          <w:b/>
          <w:bCs/>
        </w:rPr>
        <w:t xml:space="preserve"> </w:t>
      </w:r>
      <w:r>
        <w:rPr>
          <w:b/>
          <w:bCs/>
        </w:rPr>
        <w:t xml:space="preserve">“the person who does them shall live”</w:t>
      </w:r>
      <w:r>
        <w:rPr>
          <w:b/>
          <w:bCs/>
        </w:rPr>
        <w:t xml:space="preserve">:</w:t>
      </w:r>
      <w:r>
        <w:t xml:space="preserve"> </w:t>
      </w:r>
      <w:r>
        <w:t xml:space="preserve">Leviticus 18:5 —</w:t>
      </w:r>
      <w:r>
        <w:t xml:space="preserve"> </w:t>
      </w:r>
      <w:r>
        <w:t xml:space="preserve">“You shall therefore keep my statutes and my rules; if a person does them, he shall live by them”</w:t>
      </w:r>
      <w:r>
        <w:t xml:space="preserve"> </w:t>
      </w:r>
      <w:r>
        <w:t xml:space="preserve">— has generated significant debate across traditions. The Lutheran tradition, following Paul’s use of this verse in Romans 10:5 and Galatians 3:12, tends to read Leviticus 18:5 as a statement of the law’s impossible demand: the standard of life-through-obedience that no sinner can meet, establishing the need for the righteousness of faith. On this reading, Leviticus 18:5 is itself a law-demand that drives Israel (and the reader) to Christ. The Dispensational tradition treats the verse as a promise of temporal, national blessing conditioned on covenant obedience — applicable to Israel under the Mosaic economy but not directly to the New Covenant believer. The Wesleyan tradition emphasizes the genuine possibility of obedience through sanctifying grace, reading the verse as a sincere call that can be genuinely met.</w:t>
      </w:r>
    </w:p>
    <w:p>
      <w:pPr>
        <w:pStyle w:val="BodyText"/>
      </w:pPr>
      <w:r>
        <w:t xml:space="preserve">The Reformed reading holds together what the Lutheran reading tends to separate: Leviticus 18:5 is a genuine promise of life attached to genuine obedience, addressed to a redeemed people (the exodus is the presupposition, not the reward, of these statutes). It is not law as bare demand designed to expose failure — it is the covenant LORD giving His liberated people the statutes of a good life. Paul’s use of this verse in Romans 10 and Galatians 3 does not contradict this — Paul is showing that the Judaizers have turned the law into a ladder for self-justification, which it was never meant to be. The verse is rightly read as law within covenant, not law as path to justification. The Dispensational confinement of this to the Mosaic economy underestimates the moral continuity between the Holiness Code and New Covenant ethics as expressed by Paul in Romans 13 and 1 Corinthians 5–6. The warrant to acknowledge from the Lutheran tradition: the law does expose sin and drive the reader to Christ — but this is a function of the law in the fallen condition, not the authorial intent of Leviticus 18:5 in its original covenantal setting.</w:t>
      </w:r>
    </w:p>
    <w:p>
      <w:pPr>
        <w:pStyle w:val="BodyText"/>
      </w:pPr>
      <w:r>
        <w:rPr>
          <w:b/>
          <w:bCs/>
        </w:rPr>
        <w:t xml:space="preserve">On the specific prohibitions and their continuing authority:</w:t>
      </w:r>
      <w:r>
        <w:t xml:space="preserve"> </w:t>
      </w:r>
      <w:r>
        <w:t xml:space="preserve">The most significant contemporary interpretive divergence concerns which of the chapter’s prohibitions are</w:t>
      </w:r>
      <w:r>
        <w:t xml:space="preserve"> </w:t>
      </w:r>
      <w:r>
        <w:t xml:space="preserve">“moral law”</w:t>
      </w:r>
      <w:r>
        <w:t xml:space="preserve"> </w:t>
      </w:r>
      <w:r>
        <w:t xml:space="preserve">(permanent and cross-cultural) versus</w:t>
      </w:r>
      <w:r>
        <w:t xml:space="preserve"> </w:t>
      </w:r>
      <w:r>
        <w:t xml:space="preserve">“civil”</w:t>
      </w:r>
      <w:r>
        <w:t xml:space="preserve"> </w:t>
      </w:r>
      <w:r>
        <w:t xml:space="preserve">or</w:t>
      </w:r>
      <w:r>
        <w:t xml:space="preserve"> </w:t>
      </w:r>
      <w:r>
        <w:t xml:space="preserve">“ceremonial”</w:t>
      </w:r>
      <w:r>
        <w:t xml:space="preserve"> </w:t>
      </w:r>
      <w:r>
        <w:t xml:space="preserve">law (covenantal-national, applicable to Israel but not directly to the church). The standard Dispensational and some Baptist readings classify the chapter as Mosaic civil code — binding on Israel as a nation-state, instructive but not directly authoritative for the New Covenant community. The Reformed tradition, following Calvin’s threefold division of the law, argues that the prohibitions in Leviticus 18 belong to the moral law — reflected in creation order, confirmed by the natural law argument Paul makes in Romans 1, and restated in the New Testament in passages such as 1 Corinthians 5:1, 6:9, Romans 1:26–27, and Matthew 5:27–32. The closing argument of Leviticus 18 itself supports this: the Canaanites are condemned for these practices</w:t>
      </w:r>
      <w:r>
        <w:t xml:space="preserve"> </w:t>
      </w:r>
      <w:r>
        <w:rPr>
          <w:i/>
          <w:iCs/>
        </w:rPr>
        <w:t xml:space="preserve">before</w:t>
      </w:r>
      <w:r>
        <w:t xml:space="preserve"> </w:t>
      </w:r>
      <w:r>
        <w:t xml:space="preserve">they received the Mosaic covenant (v. 27), which implies that the prohibitions reflect a moral order that transcends the Mosaic economy. The defilement was real before Israel arrived, not created by the giving of the law to Israel. This is the Reformed verdict, and it is the most exegetically grounded: these prohibitions belong to the creational moral order that the Mosaic law codified and that the New Covenant confirms. The civil penalties attached to some of these violations in Leviticus 20 are Mosaic-national and do not transfer directly, but the moral substance of the prohibitions does.</w:t>
      </w:r>
    </w:p>
    <w:p>
      <w:pPr>
        <w:pStyle w:val="BodyText"/>
      </w:pPr>
      <w:r>
        <w:rPr>
          <w:b/>
          <w:bCs/>
        </w:rPr>
        <w:t xml:space="preserve">On Leviticus 18:22 and contemporary hermeneutics:</w:t>
      </w:r>
      <w:r>
        <w:t xml:space="preserve"> </w:t>
      </w:r>
      <w:r>
        <w:t xml:space="preserve">The revisionist reading — advanced in liberal Protestant and some progressive evangelical contexts — argues that the prohibition in verse 22 is directed specifically at exploitative, coercive, or idolatrous same-sex practice in the Canaanite context, not at committed same-sex relationships as such. This reading requires importing a contextual qualifier (</w:t>
      </w:r>
      <w:r>
        <w:t xml:space="preserve">“only the pagan/cultic/exploitative form is in view”</w:t>
      </w:r>
      <w:r>
        <w:t xml:space="preserve">) that the text does not supply. The prohibition is stated categorically, using the same grammatical form as the other prohibitions in the chapter, and without any restriction to cultic context. The New Testament’s use of Old Testament sexual ethics (Romans 1:26–27; 1 Corinthians 6:9; 1 Timothy 1:10) confirms that the early church read these prohibitions as morally continuous with the New Covenant. The revisionist reading should be refuted: it cannot account for the chapter’s own framing, its grammatical form, or its New Testament confirmation.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1:27–28; 2:18–25</w:t>
      </w:r>
      <w:r>
        <w:t xml:space="preserve"> </w:t>
      </w:r>
      <w:r>
        <w:t xml:space="preserve">— The creation of man and woman as the image of God, and the institution of marriage as the foundational human union, provides the positive creational order that Leviticus 18 assumes and protects. Every prohibition in the chapter is implicitly a defense of the Genesis design.</w:t>
      </w:r>
    </w:p>
    <w:p>
      <w:pPr>
        <w:numPr>
          <w:ilvl w:val="0"/>
          <w:numId w:val="1001"/>
        </w:numPr>
      </w:pPr>
      <w:r>
        <w:rPr>
          <w:b/>
          <w:bCs/>
        </w:rPr>
        <w:t xml:space="preserve">Romans 1:18–32</w:t>
      </w:r>
      <w:r>
        <w:t xml:space="preserve"> </w:t>
      </w:r>
      <w:r>
        <w:t xml:space="preserve">— Paul’s argument that sexual disorder is simultaneously a symptom and a judgment of idolatry — that exchanging the Creator for the creature inevitably produces sexual confusion and relational disorder — provides the fullest New Testament theological commentary on why Leviticus 18’s prohibitions are not arbitrary but creational. Paul’s list of disorders overlaps substantially with Leviticus 18’s.</w:t>
      </w:r>
    </w:p>
    <w:p>
      <w:pPr>
        <w:numPr>
          <w:ilvl w:val="0"/>
          <w:numId w:val="1001"/>
        </w:numPr>
      </w:pPr>
      <w:r>
        <w:rPr>
          <w:b/>
          <w:bCs/>
        </w:rPr>
        <w:t xml:space="preserve">1 Corinthians 5:1–13; 6:9–20</w:t>
      </w:r>
      <w:r>
        <w:t xml:space="preserve"> </w:t>
      </w:r>
      <w:r>
        <w:t xml:space="preserve">— Paul’s direct application of Leviticus-level sexual ethics to the New Covenant church confirms that the Holiness Code’s moral substance is not abrogated. Chapter 5:1 explicitly invokes Leviticus 18:8 (uncovering a father’s nakedness). Paul treats sexual immorality as defiling the community just as Leviticus 18 treats it as defiling the land and the people.</w:t>
      </w:r>
    </w:p>
    <w:p>
      <w:pPr>
        <w:numPr>
          <w:ilvl w:val="0"/>
          <w:numId w:val="1001"/>
        </w:numPr>
      </w:pPr>
      <w:r>
        <w:rPr>
          <w:b/>
          <w:bCs/>
        </w:rPr>
        <w:t xml:space="preserve">Matthew 5:27–32; 19:3–9</w:t>
      </w:r>
      <w:r>
        <w:t xml:space="preserve"> </w:t>
      </w:r>
      <w:r>
        <w:t xml:space="preserve">— Jesus grounds His sexual ethics in the creation order of Genesis 2, not in Mosaic civil legislation, confirming that the sexual ethics underlying Leviticus 18 belong to the permanent moral order, not to the Mosaic economy as such.</w:t>
      </w:r>
    </w:p>
    <w:p>
      <w:pPr>
        <w:numPr>
          <w:ilvl w:val="0"/>
          <w:numId w:val="1001"/>
        </w:numPr>
      </w:pPr>
      <w:r>
        <w:rPr>
          <w:b/>
          <w:bCs/>
        </w:rPr>
        <w:t xml:space="preserve">Revelation 21:27; 22:15</w:t>
      </w:r>
      <w:r>
        <w:t xml:space="preserve"> </w:t>
      </w:r>
      <w:r>
        <w:t xml:space="preserve">— The eschatological new creation is described in terms of purity and exclusion of those who practice sexual immorality (</w:t>
      </w:r>
      <w:r>
        <w:rPr>
          <w:i/>
          <w:iCs/>
        </w:rPr>
        <w:t xml:space="preserve">porneia</w:t>
      </w:r>
      <w:r>
        <w:t xml:space="preserve">), confirming that the holiness-from-defilement structure of Leviticus 18 persists through redemptive history to its consummation.</w:t>
      </w:r>
    </w:p>
    <w:p>
      <w:r>
        <w:pict>
          <v:rect style="width:0;height:1.5pt" o:hralign="center" o:hrstd="t" o:hr="t"/>
        </w:pict>
      </w:r>
    </w:p>
    <w:p>
      <w:pPr>
        <w:pStyle w:val="FirstParagraph"/>
      </w:pPr>
      <w:r>
        <w:rPr>
          <w:b/>
          <w:bCs/>
        </w:rPr>
        <w:t xml:space="preserve">Aim:</w:t>
      </w:r>
      <w:r>
        <w:t xml:space="preserve"> </w:t>
      </w:r>
      <w:r>
        <w:t xml:space="preserve">To show that God’s sexual and relational order in Leviticus 18 is not cultural regulation from a distant past but the living statutes of the covenant LORD — that the surrounding world’s sexual norms are defiling, that the people of God are called to embodied distinctiveness, and that this call is grounded in creation, confirmed by the gospel, and received as life rather than restriction.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LORD speaks to Moses:</w:t>
            </w:r>
            <w:r>
              <w:t xml:space="preserve"> </w:t>
            </w:r>
            <w:r>
              <w:t xml:space="preserve">“I am the LORD your God”</w:t>
            </w:r>
            <w:r>
              <w:t xml:space="preserve"> </w:t>
            </w:r>
            <w:r>
              <w:t xml:space="preserve">— the framing self-identification</w:t>
            </w:r>
          </w:p>
        </w:tc>
        <w:tc>
          <w:tcPr/>
          <w:p>
            <w:pPr>
              <w:pStyle w:val="Compact"/>
            </w:pPr>
            <w:r>
              <w:t xml:space="preserve">The divine name (</w:t>
            </w:r>
            <w:r>
              <w:rPr>
                <w:i/>
                <w:iCs/>
              </w:rPr>
              <w:t xml:space="preserve">YHWH</w:t>
            </w:r>
            <w:r>
              <w:t xml:space="preserve">) appears as the ground and authority for everything that follows; this is covenant speech, not bare legislation</w:t>
            </w:r>
          </w:p>
        </w:tc>
      </w:tr>
      <w:tr>
        <w:tc>
          <w:tcPr/>
          <w:p>
            <w:pPr>
              <w:pStyle w:val="Compact"/>
            </w:pPr>
            <w:r>
              <w:t xml:space="preserve">3</w:t>
            </w:r>
          </w:p>
        </w:tc>
        <w:tc>
          <w:tcPr/>
          <w:p>
            <w:pPr>
              <w:pStyle w:val="Compact"/>
            </w:pPr>
            <w:r>
              <w:t xml:space="preserve">Negative frame:</w:t>
            </w:r>
            <w:r>
              <w:t xml:space="preserve"> </w:t>
            </w:r>
            <w:r>
              <w:t xml:space="preserve">“Do not do as they do in Egypt or Canaan”</w:t>
            </w:r>
          </w:p>
        </w:tc>
        <w:tc>
          <w:tcPr/>
          <w:p>
            <w:pPr>
              <w:pStyle w:val="Compact"/>
            </w:pPr>
            <w:r>
              <w:t xml:space="preserve">Past (Egypt) and future (Canaan) are both placed under prohibition — Israel is defined by neither</w:t>
            </w:r>
          </w:p>
        </w:tc>
      </w:tr>
      <w:tr>
        <w:tc>
          <w:tcPr/>
          <w:p>
            <w:pPr>
              <w:pStyle w:val="Compact"/>
            </w:pPr>
            <w:r>
              <w:t xml:space="preserve">4–5</w:t>
            </w:r>
          </w:p>
        </w:tc>
        <w:tc>
          <w:tcPr/>
          <w:p>
            <w:pPr>
              <w:pStyle w:val="Compact"/>
            </w:pPr>
            <w:r>
              <w:t xml:space="preserve">Positive frame:</w:t>
            </w:r>
            <w:r>
              <w:t xml:space="preserve"> </w:t>
            </w:r>
            <w:r>
              <w:t xml:space="preserve">“Walk in my statutes and rules; the person who does them shall live by them”</w:t>
            </w:r>
          </w:p>
        </w:tc>
        <w:tc>
          <w:tcPr/>
          <w:p>
            <w:pPr>
              <w:pStyle w:val="Compact"/>
            </w:pPr>
            <w:r>
              <w:t xml:space="preserve">Life is attached to obedience within covenant; the statutes are the LORD’s, not merely Moses’s</w:t>
            </w:r>
          </w:p>
        </w:tc>
      </w:tr>
      <w:tr>
        <w:tc>
          <w:tcPr/>
          <w:p>
            <w:pPr>
              <w:pStyle w:val="Compact"/>
            </w:pPr>
            <w:r>
              <w:t xml:space="preserve">6</w:t>
            </w:r>
          </w:p>
        </w:tc>
        <w:tc>
          <w:tcPr/>
          <w:p>
            <w:pPr>
              <w:pStyle w:val="Compact"/>
            </w:pPr>
            <w:r>
              <w:t xml:space="preserve">General principle: no one shall approach any blood relative to uncover nakedness</w:t>
            </w:r>
          </w:p>
        </w:tc>
        <w:tc>
          <w:tcPr/>
          <w:p>
            <w:pPr>
              <w:pStyle w:val="Compact"/>
            </w:pPr>
            <w:r>
              <w:t xml:space="preserve">“Uncover nakedness”</w:t>
            </w:r>
            <w:r>
              <w:t xml:space="preserve"> </w:t>
            </w:r>
            <w:r>
              <w:t xml:space="preserve">is the chapter’s idiom for sexual relations; the general principle precedes the specific cases</w:t>
            </w:r>
          </w:p>
        </w:tc>
      </w:tr>
      <w:tr>
        <w:tc>
          <w:tcPr/>
          <w:p>
            <w:pPr>
              <w:pStyle w:val="Compact"/>
            </w:pPr>
            <w:r>
              <w:t xml:space="preserve">7</w:t>
            </w:r>
          </w:p>
        </w:tc>
        <w:tc>
          <w:tcPr/>
          <w:p>
            <w:pPr>
              <w:pStyle w:val="Compact"/>
            </w:pPr>
            <w:r>
              <w:t xml:space="preserve">Father’s wife / mother — prohibition of incest with mother</w:t>
            </w:r>
          </w:p>
        </w:tc>
        <w:tc>
          <w:tcPr/>
          <w:p>
            <w:pPr>
              <w:pStyle w:val="Compact"/>
            </w:pPr>
            <w:r>
              <w:t xml:space="preserve">The double formulation (</w:t>
            </w:r>
            <w:r>
              <w:t xml:space="preserve">“your father’s nakedness, the nakedness of your mother”</w:t>
            </w:r>
            <w:r>
              <w:t xml:space="preserve">) emphasizes the father-son relationship as the violated order</w:t>
            </w:r>
          </w:p>
        </w:tc>
      </w:tr>
      <w:tr>
        <w:tc>
          <w:tcPr/>
          <w:p>
            <w:pPr>
              <w:pStyle w:val="Compact"/>
            </w:pPr>
            <w:r>
              <w:t xml:space="preserve">8</w:t>
            </w:r>
          </w:p>
        </w:tc>
        <w:tc>
          <w:tcPr/>
          <w:p>
            <w:pPr>
              <w:pStyle w:val="Compact"/>
            </w:pPr>
            <w:r>
              <w:t xml:space="preserve">Father’s other wife — prohibition</w:t>
            </w:r>
          </w:p>
        </w:tc>
        <w:tc>
          <w:tcPr/>
          <w:p>
            <w:pPr>
              <w:pStyle w:val="Compact"/>
            </w:pPr>
            <w:r>
              <w:t xml:space="preserve">The father’s marital covenant is protected, not just the biological relationship</w:t>
            </w:r>
          </w:p>
        </w:tc>
      </w:tr>
      <w:tr>
        <w:tc>
          <w:tcPr/>
          <w:p>
            <w:pPr>
              <w:pStyle w:val="Compact"/>
            </w:pPr>
            <w:r>
              <w:t xml:space="preserve">9</w:t>
            </w:r>
          </w:p>
        </w:tc>
        <w:tc>
          <w:tcPr/>
          <w:p>
            <w:pPr>
              <w:pStyle w:val="Compact"/>
            </w:pPr>
            <w:r>
              <w:t xml:space="preserve">Sister — full or half-sister, whether born in the same household or not</w:t>
            </w:r>
          </w:p>
        </w:tc>
        <w:tc>
          <w:tcPr/>
          <w:p>
            <w:pPr>
              <w:pStyle w:val="Compact"/>
            </w:pPr>
            <w:r>
              <w:t xml:space="preserve">The prohibition extends beyond household to all half-siblings, closing potential loopholes</w:t>
            </w:r>
          </w:p>
        </w:tc>
      </w:tr>
      <w:tr>
        <w:tc>
          <w:tcPr/>
          <w:p>
            <w:pPr>
              <w:pStyle w:val="Compact"/>
            </w:pPr>
            <w:r>
              <w:t xml:space="preserve">10</w:t>
            </w:r>
          </w:p>
        </w:tc>
        <w:tc>
          <w:tcPr/>
          <w:p>
            <w:pPr>
              <w:pStyle w:val="Compact"/>
            </w:pPr>
            <w:r>
              <w:t xml:space="preserve">Son’s daughter or daughter’s daughter — prohibition of incest with granddaughter</w:t>
            </w:r>
          </w:p>
        </w:tc>
        <w:tc>
          <w:tcPr/>
          <w:p>
            <w:pPr>
              <w:pStyle w:val="Compact"/>
            </w:pPr>
            <w:r>
              <w:t xml:space="preserve">The generational reach of the prohibition</w:t>
            </w:r>
          </w:p>
        </w:tc>
      </w:tr>
      <w:tr>
        <w:tc>
          <w:tcPr/>
          <w:p>
            <w:pPr>
              <w:pStyle w:val="Compact"/>
            </w:pPr>
            <w:r>
              <w:t xml:space="preserve">11</w:t>
            </w:r>
          </w:p>
        </w:tc>
        <w:tc>
          <w:tcPr/>
          <w:p>
            <w:pPr>
              <w:pStyle w:val="Compact"/>
            </w:pPr>
            <w:r>
              <w:t xml:space="preserve">Daughter of father’s wife (stepsister, born to father) — prohibition</w:t>
            </w:r>
          </w:p>
        </w:tc>
        <w:tc>
          <w:tcPr/>
          <w:p>
            <w:pPr>
              <w:pStyle w:val="Compact"/>
            </w:pPr>
            <w:r>
              <w:t xml:space="preserve">Even non-biological but legally constituted family relationships are protected</w:t>
            </w:r>
          </w:p>
        </w:tc>
      </w:tr>
      <w:tr>
        <w:tc>
          <w:tcPr/>
          <w:p>
            <w:pPr>
              <w:pStyle w:val="Compact"/>
            </w:pPr>
            <w:r>
              <w:t xml:space="preserve">12–13</w:t>
            </w:r>
          </w:p>
        </w:tc>
        <w:tc>
          <w:tcPr/>
          <w:p>
            <w:pPr>
              <w:pStyle w:val="Compact"/>
            </w:pPr>
            <w:r>
              <w:t xml:space="preserve">Father’s sister and mother’s sister — prohibition of incest with aunts</w:t>
            </w:r>
          </w:p>
        </w:tc>
        <w:tc>
          <w:tcPr/>
          <w:p>
            <w:pPr>
              <w:pStyle w:val="Compact"/>
            </w:pPr>
            <w:r>
              <w:t xml:space="preserve">Both paternal and maternal lines are covered</w:t>
            </w:r>
          </w:p>
        </w:tc>
      </w:tr>
      <w:tr>
        <w:tc>
          <w:tcPr/>
          <w:p>
            <w:pPr>
              <w:pStyle w:val="Compact"/>
            </w:pPr>
            <w:r>
              <w:t xml:space="preserve">14</w:t>
            </w:r>
          </w:p>
        </w:tc>
        <w:tc>
          <w:tcPr/>
          <w:p>
            <w:pPr>
              <w:pStyle w:val="Compact"/>
            </w:pPr>
            <w:r>
              <w:t xml:space="preserve">Father’s brother’s wife — prohibition</w:t>
            </w:r>
          </w:p>
        </w:tc>
        <w:tc>
          <w:tcPr/>
          <w:p>
            <w:pPr>
              <w:pStyle w:val="Compact"/>
            </w:pPr>
            <w:r>
              <w:t xml:space="preserve">Again, marital covenant as well as blood relation is protected</w:t>
            </w:r>
          </w:p>
        </w:tc>
      </w:tr>
      <w:tr>
        <w:tc>
          <w:tcPr/>
          <w:p>
            <w:pPr>
              <w:pStyle w:val="Compact"/>
            </w:pPr>
            <w:r>
              <w:t xml:space="preserve">15</w:t>
            </w:r>
          </w:p>
        </w:tc>
        <w:tc>
          <w:tcPr/>
          <w:p>
            <w:pPr>
              <w:pStyle w:val="Compact"/>
            </w:pPr>
            <w:r>
              <w:t xml:space="preserve">Daughter-in-law — prohibition</w:t>
            </w:r>
          </w:p>
        </w:tc>
        <w:tc>
          <w:tcPr/>
          <w:p>
            <w:pPr>
              <w:pStyle w:val="Compact"/>
            </w:pPr>
            <w:r>
              <w:t xml:space="preserve">Tamar/Judah type situation (Gen. 38) is explicitly prohibited</w:t>
            </w:r>
          </w:p>
        </w:tc>
      </w:tr>
      <w:tr>
        <w:tc>
          <w:tcPr/>
          <w:p>
            <w:pPr>
              <w:pStyle w:val="Compact"/>
            </w:pPr>
            <w:r>
              <w:t xml:space="preserve">16</w:t>
            </w:r>
          </w:p>
        </w:tc>
        <w:tc>
          <w:tcPr/>
          <w:p>
            <w:pPr>
              <w:pStyle w:val="Compact"/>
            </w:pPr>
            <w:r>
              <w:t xml:space="preserve">Brother’s wife — prohibition</w:t>
            </w:r>
          </w:p>
        </w:tc>
        <w:tc>
          <w:tcPr/>
          <w:p>
            <w:pPr>
              <w:pStyle w:val="Compact"/>
            </w:pPr>
            <w:r>
              <w:t xml:space="preserve">Cf. Herod and Herodias (Mark 6:18); John the Baptist’s rebuke is a direct application of this verse</w:t>
            </w:r>
          </w:p>
        </w:tc>
      </w:tr>
      <w:tr>
        <w:tc>
          <w:tcPr/>
          <w:p>
            <w:pPr>
              <w:pStyle w:val="Compact"/>
            </w:pPr>
            <w:r>
              <w:t xml:space="preserve">17</w:t>
            </w:r>
          </w:p>
        </w:tc>
        <w:tc>
          <w:tcPr/>
          <w:p>
            <w:pPr>
              <w:pStyle w:val="Compact"/>
            </w:pPr>
            <w:r>
              <w:t xml:space="preserve">Woman and her daughter or granddaughter — prohibition of taking multiple generations</w:t>
            </w:r>
          </w:p>
        </w:tc>
        <w:tc>
          <w:tcPr/>
          <w:p>
            <w:pPr>
              <w:pStyle w:val="Compact"/>
            </w:pPr>
            <w:r>
              <w:t xml:space="preserve">“They are relatives; it is depravity”</w:t>
            </w:r>
            <w:r>
              <w:t xml:space="preserve"> </w:t>
            </w:r>
            <w:r>
              <w:t xml:space="preserve">— the text supplies its own moral evaluation</w:t>
            </w:r>
          </w:p>
        </w:tc>
      </w:tr>
      <w:tr>
        <w:tc>
          <w:tcPr/>
          <w:p>
            <w:pPr>
              <w:pStyle w:val="Compact"/>
            </w:pPr>
            <w:r>
              <w:t xml:space="preserve">18</w:t>
            </w:r>
          </w:p>
        </w:tc>
        <w:tc>
          <w:tcPr/>
          <w:p>
            <w:pPr>
              <w:pStyle w:val="Compact"/>
            </w:pPr>
            <w:r>
              <w:t xml:space="preserve">Taking a wife’s sister as a rival wife while the wife lives — prohibition</w:t>
            </w:r>
          </w:p>
        </w:tc>
        <w:tc>
          <w:tcPr/>
          <w:p>
            <w:pPr>
              <w:pStyle w:val="Compact"/>
            </w:pPr>
            <w:r>
              <w:t xml:space="preserve">Not a prohibition of all sororal relationships but of creating rivalry while the wife is alive</w:t>
            </w:r>
          </w:p>
        </w:tc>
      </w:tr>
      <w:tr>
        <w:tc>
          <w:tcPr/>
          <w:p>
            <w:pPr>
              <w:pStyle w:val="Compact"/>
            </w:pPr>
            <w:r>
              <w:t xml:space="preserve">19</w:t>
            </w:r>
          </w:p>
        </w:tc>
        <w:tc>
          <w:tcPr/>
          <w:p>
            <w:pPr>
              <w:pStyle w:val="Compact"/>
            </w:pPr>
            <w:r>
              <w:t xml:space="preserve">Sexual relations during menstruation — prohibition</w:t>
            </w:r>
          </w:p>
        </w:tc>
        <w:tc>
          <w:tcPr/>
          <w:p>
            <w:pPr>
              <w:pStyle w:val="Compact"/>
            </w:pPr>
            <w:r>
              <w:t xml:space="preserve">Levitical cleanness category, connected to the blood-life theology of chapter 17</w:t>
            </w:r>
          </w:p>
        </w:tc>
      </w:tr>
      <w:tr>
        <w:tc>
          <w:tcPr/>
          <w:p>
            <w:pPr>
              <w:pStyle w:val="Compact"/>
            </w:pPr>
            <w:r>
              <w:t xml:space="preserve">20</w:t>
            </w:r>
          </w:p>
        </w:tc>
        <w:tc>
          <w:tcPr/>
          <w:p>
            <w:pPr>
              <w:pStyle w:val="Compact"/>
            </w:pPr>
            <w:r>
              <w:t xml:space="preserve">Adultery — prohibition</w:t>
            </w:r>
          </w:p>
        </w:tc>
        <w:tc>
          <w:tcPr/>
          <w:p>
            <w:pPr>
              <w:pStyle w:val="Compact"/>
            </w:pPr>
            <w:r>
              <w:t xml:space="preserve">The neighbor’s wife is specifically named; this protects the covenant of another man’s marriage</w:t>
            </w:r>
          </w:p>
        </w:tc>
      </w:tr>
      <w:tr>
        <w:tc>
          <w:tcPr/>
          <w:p>
            <w:pPr>
              <w:pStyle w:val="Compact"/>
            </w:pPr>
            <w:r>
              <w:t xml:space="preserve">21</w:t>
            </w:r>
          </w:p>
        </w:tc>
        <w:tc>
          <w:tcPr/>
          <w:p>
            <w:pPr>
              <w:pStyle w:val="Compact"/>
            </w:pPr>
            <w:r>
              <w:t xml:space="preserve">Child sacrifice to Molech — prohibition</w:t>
            </w:r>
          </w:p>
        </w:tc>
        <w:tc>
          <w:tcPr/>
          <w:p>
            <w:pPr>
              <w:pStyle w:val="Compact"/>
            </w:pPr>
            <w:r>
              <w:t xml:space="preserve">The connection to a sexual ethics chapter is significant: false worship and sexual disorder are linked; also</w:t>
            </w:r>
            <w:r>
              <w:t xml:space="preserve"> </w:t>
            </w:r>
            <w:r>
              <w:t xml:space="preserve">“profaning the LORD’s name”</w:t>
            </w:r>
          </w:p>
        </w:tc>
      </w:tr>
      <w:tr>
        <w:tc>
          <w:tcPr/>
          <w:p>
            <w:pPr>
              <w:pStyle w:val="Compact"/>
            </w:pPr>
            <w:r>
              <w:t xml:space="preserve">22</w:t>
            </w:r>
          </w:p>
        </w:tc>
        <w:tc>
          <w:tcPr/>
          <w:p>
            <w:pPr>
              <w:pStyle w:val="Compact"/>
            </w:pPr>
            <w:r>
              <w:t xml:space="preserve">Male homosexual practice — prohibition</w:t>
            </w:r>
          </w:p>
        </w:tc>
        <w:tc>
          <w:tcPr/>
          <w:p>
            <w:pPr>
              <w:pStyle w:val="Compact"/>
            </w:pPr>
            <w:r>
              <w:t xml:space="preserve">Stated categorically as</w:t>
            </w:r>
            <w:r>
              <w:t xml:space="preserve"> </w:t>
            </w:r>
            <w:r>
              <w:t xml:space="preserve">“an abomination”</w:t>
            </w:r>
            <w:r>
              <w:t xml:space="preserve"> </w:t>
            </w:r>
            <w:r>
              <w:t xml:space="preserve">(</w:t>
            </w:r>
            <w:r>
              <w:rPr>
                <w:i/>
                <w:iCs/>
              </w:rPr>
              <w:t xml:space="preserve">tô’ēbāh</w:t>
            </w:r>
            <w:r>
              <w:t xml:space="preserve">) — the strongest moral evaluation term in the Levitical vocabulary</w:t>
            </w:r>
          </w:p>
        </w:tc>
      </w:tr>
      <w:tr>
        <w:tc>
          <w:tcPr/>
          <w:p>
            <w:pPr>
              <w:pStyle w:val="Compact"/>
            </w:pPr>
            <w:r>
              <w:t xml:space="preserve">23</w:t>
            </w:r>
          </w:p>
        </w:tc>
        <w:tc>
          <w:tcPr/>
          <w:p>
            <w:pPr>
              <w:pStyle w:val="Compact"/>
            </w:pPr>
            <w:r>
              <w:t xml:space="preserve">Bestiality — prohibition for both men and women</w:t>
            </w:r>
          </w:p>
        </w:tc>
        <w:tc>
          <w:tcPr/>
          <w:p>
            <w:pPr>
              <w:pStyle w:val="Compact"/>
            </w:pPr>
            <w:r>
              <w:t xml:space="preserve">Named</w:t>
            </w:r>
            <w:r>
              <w:t xml:space="preserve"> </w:t>
            </w:r>
            <w:r>
              <w:t xml:space="preserve">“perversion”</w:t>
            </w:r>
            <w:r>
              <w:t xml:space="preserve"> </w:t>
            </w:r>
            <w:r>
              <w:t xml:space="preserve">(</w:t>
            </w:r>
            <w:r>
              <w:rPr>
                <w:i/>
                <w:iCs/>
              </w:rPr>
              <w:t xml:space="preserve">tebel</w:t>
            </w:r>
            <w:r>
              <w:t xml:space="preserve">) — confusion/mixing of kinds, a violation of creational categories</w:t>
            </w:r>
          </w:p>
        </w:tc>
      </w:tr>
      <w:tr>
        <w:tc>
          <w:tcPr/>
          <w:p>
            <w:pPr>
              <w:pStyle w:val="Compact"/>
            </w:pPr>
            <w:r>
              <w:t xml:space="preserve">24–25</w:t>
            </w:r>
          </w:p>
        </w:tc>
        <w:tc>
          <w:tcPr/>
          <w:p>
            <w:pPr>
              <w:pStyle w:val="Compact"/>
            </w:pPr>
            <w:r>
              <w:t xml:space="preserve">Warning: do not defile yourselves with any of these things; the nations did and the land is defiled</w:t>
            </w:r>
          </w:p>
        </w:tc>
        <w:tc>
          <w:tcPr/>
          <w:p>
            <w:pPr>
              <w:pStyle w:val="Compact"/>
            </w:pPr>
            <w:r>
              <w:t xml:space="preserve">The land itself is a moral agent in the text — it bears the weight of human sin and will reject those who practice these things</w:t>
            </w:r>
          </w:p>
        </w:tc>
      </w:tr>
      <w:tr>
        <w:tc>
          <w:tcPr/>
          <w:p>
            <w:pPr>
              <w:pStyle w:val="Compact"/>
            </w:pPr>
            <w:r>
              <w:t xml:space="preserve">26–28</w:t>
            </w:r>
          </w:p>
        </w:tc>
        <w:tc>
          <w:tcPr/>
          <w:p>
            <w:pPr>
              <w:pStyle w:val="Compact"/>
            </w:pPr>
            <w:r>
              <w:t xml:space="preserve">Israel must keep the statutes or the land will vomit them out as it vomited out the nations</w:t>
            </w:r>
          </w:p>
        </w:tc>
        <w:tc>
          <w:tcPr/>
          <w:p>
            <w:pPr>
              <w:pStyle w:val="Compact"/>
            </w:pPr>
            <w:r>
              <w:t xml:space="preserve">The warning is not nationalistic favoritism — Israel has no immunity; the same standard applies</w:t>
            </w:r>
          </w:p>
        </w:tc>
      </w:tr>
      <w:tr>
        <w:tc>
          <w:tcPr/>
          <w:p>
            <w:pPr>
              <w:pStyle w:val="Compact"/>
            </w:pPr>
            <w:r>
              <w:t xml:space="preserve">29–30</w:t>
            </w:r>
          </w:p>
        </w:tc>
        <w:tc>
          <w:tcPr/>
          <w:p>
            <w:pPr>
              <w:pStyle w:val="Compact"/>
            </w:pPr>
            <w:r>
              <w:t xml:space="preserve">Anyone who does these things shall be cut off from the people; keep the charge of the LORD</w:t>
            </w:r>
          </w:p>
        </w:tc>
        <w:tc>
          <w:tcPr/>
          <w:p>
            <w:pPr>
              <w:pStyle w:val="Compact"/>
            </w:pPr>
            <w:r>
              <w:t xml:space="preserve">“Cut off”</w:t>
            </w:r>
            <w:r>
              <w:t xml:space="preserve"> </w:t>
            </w:r>
            <w:r>
              <w:t xml:space="preserve">(</w:t>
            </w:r>
            <w:r>
              <w:rPr>
                <w:i/>
                <w:iCs/>
              </w:rPr>
              <w:t xml:space="preserve">kārat</w:t>
            </w:r>
            <w:r>
              <w:t xml:space="preserve">) is covenant exclusion — the most severe sanction; the chapter closes as it opened:</w:t>
            </w:r>
            <w:r>
              <w:t xml:space="preserve"> </w:t>
            </w:r>
            <w:r>
              <w:t xml:space="preserve">“I am the LORD your God”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Framing: The LORD’s identity and Israel’s call to distinctiveness</w:t>
            </w:r>
          </w:p>
        </w:tc>
      </w:tr>
      <w:tr>
        <w:tc>
          <w:tcPr/>
          <w:p>
            <w:pPr>
              <w:pStyle w:val="Compact"/>
            </w:pPr>
            <w:r>
              <w:t xml:space="preserve">2</w:t>
            </w:r>
          </w:p>
        </w:tc>
        <w:tc>
          <w:tcPr/>
          <w:p>
            <w:pPr>
              <w:pStyle w:val="Compact"/>
            </w:pPr>
            <w:r>
              <w:t xml:space="preserve">6–18</w:t>
            </w:r>
          </w:p>
        </w:tc>
        <w:tc>
          <w:tcPr/>
          <w:p>
            <w:pPr>
              <w:pStyle w:val="Compact"/>
            </w:pPr>
            <w:r>
              <w:t xml:space="preserve">Prohibited Sexual Relations I: Incest and the protection of family boundaries</w:t>
            </w:r>
          </w:p>
        </w:tc>
      </w:tr>
      <w:tr>
        <w:tc>
          <w:tcPr/>
          <w:p>
            <w:pPr>
              <w:pStyle w:val="Compact"/>
            </w:pPr>
            <w:r>
              <w:t xml:space="preserve">3</w:t>
            </w:r>
          </w:p>
        </w:tc>
        <w:tc>
          <w:tcPr/>
          <w:p>
            <w:pPr>
              <w:pStyle w:val="Compact"/>
            </w:pPr>
            <w:r>
              <w:t xml:space="preserve">19–23</w:t>
            </w:r>
          </w:p>
        </w:tc>
        <w:tc>
          <w:tcPr/>
          <w:p>
            <w:pPr>
              <w:pStyle w:val="Compact"/>
            </w:pPr>
            <w:r>
              <w:t xml:space="preserve">Prohibited Sexual Relations II: Adultery, false worship, and disorders against nature</w:t>
            </w:r>
          </w:p>
        </w:tc>
      </w:tr>
      <w:tr>
        <w:tc>
          <w:tcPr/>
          <w:p>
            <w:pPr>
              <w:pStyle w:val="Compact"/>
            </w:pPr>
            <w:r>
              <w:t xml:space="preserve">4</w:t>
            </w:r>
          </w:p>
        </w:tc>
        <w:tc>
          <w:tcPr/>
          <w:p>
            <w:pPr>
              <w:pStyle w:val="Compact"/>
            </w:pPr>
            <w:r>
              <w:t xml:space="preserve">24–30</w:t>
            </w:r>
          </w:p>
        </w:tc>
        <w:tc>
          <w:tcPr/>
          <w:p>
            <w:pPr>
              <w:pStyle w:val="Compact"/>
            </w:pPr>
            <w:r>
              <w:t xml:space="preserve">The Warning: Defilement, the land, and covenant consequences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separates Israel from the nations by marking the boundaries of sexual holiness.</w:t>
      </w:r>
    </w:p>
    <w:p>
      <w:pPr>
        <w:pStyle w:val="BodyText"/>
      </w:pPr>
      <w:r>
        <w:rPr>
          <w:b/>
          <w:bCs/>
        </w:rPr>
        <w:t xml:space="preserve">Primary Claim:</w:t>
      </w:r>
      <w:r>
        <w:t xml:space="preserve"> </w:t>
      </w:r>
      <w:r>
        <w:t xml:space="preserve">God is confronting His people with the full weight of His sexual and relational order — calling them to see that covenant faithfulness is embodied, that the surrounding world’s norms are defiling, and that the statutes of the LORD alone are life.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w:t>
      </w:r>
      <w:r>
        <w:t xml:space="preserve"> </w:t>
      </w:r>
      <w:r>
        <w:t xml:space="preserve">The statutes of Leviticus 18 are not arbitrary restrictions invented by an ancient culture — they are the LORD’s own articulation of the created order He designed for human flourishing. The chapter opens and closes with</w:t>
      </w:r>
      <w:r>
        <w:t xml:space="preserve"> </w:t>
      </w:r>
      <w:r>
        <w:t xml:space="preserve">“I am the LORD your God,”</w:t>
      </w:r>
      <w:r>
        <w:t xml:space="preserve"> </w:t>
      </w:r>
      <w:r>
        <w:t xml:space="preserve">which means these boundaries carry the authority of the One who made humanity and knows what it is for. Wherever the surrounding culture presents its sexual ethic as liberating and God’s as constraining, the reader should hear Leviticus 18:5 —</w:t>
      </w:r>
      <w:r>
        <w:t xml:space="preserve"> </w:t>
      </w:r>
      <w:r>
        <w:t xml:space="preserve">“the person who does them shall live by them”</w:t>
      </w:r>
      <w:r>
        <w:t xml:space="preserve"> </w:t>
      </w:r>
      <w:r>
        <w:t xml:space="preserve">— and recognize that the world’s statutes promise life but produce defilement, while the LORD’s statutes appear to restrict but are in fact the map of the good life.</w:t>
      </w:r>
    </w:p>
    <w:p>
      <w:pPr>
        <w:pStyle w:val="BodyText"/>
      </w:pPr>
      <w:r>
        <w:rPr>
          <w:b/>
          <w:bCs/>
        </w:rPr>
        <w:t xml:space="preserve">2. (Mind/Belief)</w:t>
      </w:r>
      <w:r>
        <w:t xml:space="preserve"> </w:t>
      </w:r>
      <w:r>
        <w:t xml:space="preserve">The framing of verses 3–5 refuses Israel the comfort of either the past (Egypt) or the future (Canaan) as a guide for life. This is an identity-forming move, not merely a behavioral one. Every covenant person stands in the same position: neither formed by the culture they came from nor assimilated to the culture they inhabit, but defined by the living God who called them out. The practical question this raises is not simply</w:t>
      </w:r>
      <w:r>
        <w:t xml:space="preserve"> </w:t>
      </w:r>
      <w:r>
        <w:t xml:space="preserve">“what does God prohibit?”</w:t>
      </w:r>
      <w:r>
        <w:t xml:space="preserve"> </w:t>
      </w:r>
      <w:r>
        <w:t xml:space="preserve">but</w:t>
      </w:r>
      <w:r>
        <w:t xml:space="preserve"> </w:t>
      </w:r>
      <w:r>
        <w:t xml:space="preserve">“whose statutes am I actually living by?”</w:t>
      </w:r>
      <w:r>
        <w:t xml:space="preserve"> </w:t>
      </w:r>
      <w:r>
        <w:t xml:space="preserve">— which requires honest examination of the ambient cultural assumptions that have shaped one’s actual sexual and relational practice, not just one’s stated beliefs.</w:t>
      </w:r>
    </w:p>
    <w:p>
      <w:pPr>
        <w:pStyle w:val="BodyText"/>
      </w:pPr>
      <w:r>
        <w:rPr>
          <w:b/>
          <w:bCs/>
        </w:rPr>
        <w:t xml:space="preserve">3. (Affections/Worship)</w:t>
      </w:r>
      <w:r>
        <w:t xml:space="preserve"> </w:t>
      </w:r>
      <w:r>
        <w:t xml:space="preserve">Verse 21 interrupts the sexual ethics of the chapter with a prohibition against child sacrifice to Molech — and this is not an accidental juxtaposition. The connection is worship: what you give your body to reveals what you worship, and false worship inevitably produces bodily disorder. The reader should feel the weight of this connection. Sexual sin and false worship are not separate categories in Scripture — they are linked because the body follows the heart. The appropriate response is not merely behavioral correction but a reorientation of worship: toward the God who gives life, away from the gods who demand it.</w:t>
      </w:r>
    </w:p>
    <w:p>
      <w:pPr>
        <w:pStyle w:val="BodyText"/>
      </w:pPr>
      <w:r>
        <w:rPr>
          <w:b/>
          <w:bCs/>
        </w:rPr>
        <w:t xml:space="preserve">4. (Affections/Worship)</w:t>
      </w:r>
      <w:r>
        <w:t xml:space="preserve"> </w:t>
      </w:r>
      <w:r>
        <w:t xml:space="preserve">Verses 24–28 introduce one of Scripture’s most striking images: the land itself recoiling from defilement and</w:t>
      </w:r>
      <w:r>
        <w:t xml:space="preserve"> </w:t>
      </w:r>
      <w:r>
        <w:t xml:space="preserve">“vomiting out”</w:t>
      </w:r>
      <w:r>
        <w:t xml:space="preserve"> </w:t>
      </w:r>
      <w:r>
        <w:t xml:space="preserve">its inhabitants. This is not primarily a political or demographic observation — it is a statement about the weight of sexual sin. God is pressing His people to feel the gravity of what is at stake, not to calculate a list of infractions. The person who has treated sexual immorality lightly — whether their own or the culture’s — should be shaken by this image. The land can bear many things, but not this. If the land itself has a conscience about sexual holiness, how much more should the people who bear the LORD’s name?</w:t>
      </w:r>
    </w:p>
    <w:p>
      <w:pPr>
        <w:pStyle w:val="BodyText"/>
      </w:pPr>
      <w:r>
        <w:rPr>
          <w:b/>
          <w:bCs/>
        </w:rPr>
        <w:t xml:space="preserve">5. (Will/Behavior)</w:t>
      </w:r>
      <w:r>
        <w:t xml:space="preserve"> </w:t>
      </w:r>
      <w:r>
        <w:t xml:space="preserve">The prohibition against</w:t>
      </w:r>
      <w:r>
        <w:t xml:space="preserve"> </w:t>
      </w:r>
      <w:r>
        <w:t xml:space="preserve">“uncovering nakedness”</w:t>
      </w:r>
      <w:r>
        <w:t xml:space="preserve"> </w:t>
      </w:r>
      <w:r>
        <w:t xml:space="preserve">across the chapter’s many categories is not simply about avoiding specific acts — it is about protecting the relational covenants that give family and community their integrity. The practical application is proactive: the covenant person guards the sexual and relational dignity of every person in their household, extended family, and community. This means not treating any person as an available object of sexual interest because of proximity, power, or opportunity. It means constructing genuine relational boundaries, not merely avoiding the most obvious violations. The question to sit with is not</w:t>
      </w:r>
      <w:r>
        <w:t xml:space="preserve"> </w:t>
      </w:r>
      <w:r>
        <w:t xml:space="preserve">“have I crossed any of these lines?”</w:t>
      </w:r>
      <w:r>
        <w:t xml:space="preserve"> </w:t>
      </w:r>
      <w:r>
        <w:t xml:space="preserve">but</w:t>
      </w:r>
      <w:r>
        <w:t xml:space="preserve"> </w:t>
      </w:r>
      <w:r>
        <w:t xml:space="preserve">“am I actively protecting the covenantal structure of the relationships entrusted to me?”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Leviticus 18 teaches that God’s holiness is not merely a cultic or ceremonial category — it is embodied, relational, and creational. The LORD’s prohibition of sexual disorder flows from His identity as Creator and Redeemer: He made the human body with purpose, He instituted marriage and family as creational structures, and He redeemed Israel as His own people. The chapter also teaches that sin has ecological and communal weight, not merely personal consequences — the land itself is defiled and responds. God’s standards are not Israel’s standards, and they were not the Canaanites’ standards before Israel arrived — which means they belong to the moral order of creation, not merely to the Mosaic covenant. The chapter is ultimately an act of grace: God is giving His people the knowledge of what defiles and what gives life, a knowledge the nations did not have or ignored.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Leviticus 18 grounds Reformed sexual ethics in the creational moral law, not merely in Mosaic legislation. The Reformed tradition’s threefold distinction of the law (moral, civil, ceremonial) finds strong support in this chapter’s own reasoning: the Canaanites are condemned for these violations before receiving the Mosaic law (v. 27), which means the prohibitions reflect the creational moral order that transcends the Mosaic economy. This chapter also demonstrates the covenant structure of all Christian ethics: the statutes are given to a redeemed people (</w:t>
      </w:r>
      <w:r>
        <w:t xml:space="preserve">“I am the LORD your God who brought you out of Egypt”</w:t>
      </w:r>
      <w:r>
        <w:t xml:space="preserve"> </w:t>
      </w:r>
      <w:r>
        <w:t xml:space="preserve">is the presupposition of Leviticus, not a reward for compliance), which means obedience is always the response of the freed, not the basis for freedom. The Fallen Condition Focus here is the human tendency to normalize the sexual ethics of the surrounding world — to gradually adopt Egypt’s or Canaan’s statutes rather than the LORD’s — and the Reformed gospel answers this not with bare demand but with the indicative of redemption: you are the LORD’s, which is why you live like it.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is not offering a list of rules — He is calling His people to a life that reflects who He is and what He has made. The nations around you will normalize what God names as defilement, and the pressure will be constant to adopt their statutes as your own. Leviticus 18 says: the land itself knows the difference. You belong to the God who brought you out — live like it. His statutes are not the walls of a prison; they are the shape of the life He designed for you.</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chapter as a catalog of prohibitions rather than a theological claim.</w:t>
      </w:r>
      <w:r>
        <w:t xml:space="preserve"> </w:t>
      </w:r>
      <w:r>
        <w:t xml:space="preserve">The most common failure is to march through the specific prohibitions verse by verse and produce a list of</w:t>
      </w:r>
      <w:r>
        <w:t xml:space="preserve"> </w:t>
      </w:r>
      <w:r>
        <w:t xml:space="preserve">“things God forbids”</w:t>
      </w:r>
      <w:r>
        <w:t xml:space="preserve"> </w:t>
      </w:r>
      <w:r>
        <w:t xml:space="preserve">without ever addressing the chapter’s governing theological architecture: the LORD’s identity, the contrast with the nations, the life-giving intent of the statutes, and the land’s defilement as a moral argument. The chapter is not primarily about what Israel must not do — it is about who Israel must be, and why, in light of who their God is. Preach the frame before you preach the content.</w:t>
      </w:r>
    </w:p>
    <w:p>
      <w:pPr>
        <w:numPr>
          <w:ilvl w:val="0"/>
          <w:numId w:val="1002"/>
        </w:numPr>
      </w:pPr>
      <w:r>
        <w:rPr>
          <w:b/>
          <w:bCs/>
        </w:rPr>
        <w:t xml:space="preserve">Selective engagement with the prohibitions based on contemporary cultural comfort.</w:t>
      </w:r>
      <w:r>
        <w:t xml:space="preserve"> </w:t>
      </w:r>
      <w:r>
        <w:t xml:space="preserve">There is a strong temptation to emphasize the prohibitions that are culturally uncontroversial (incest, adultery, bestiality) while softening, contextualizing, or omitting the prohibition in verse 22 because of its cultural cost. This is expositional cowardice and it distorts the chapter’s structure — verse 22 is grammatically and structurally identical to every other prohibition in the chapter, and the same term (</w:t>
      </w:r>
      <w:r>
        <w:rPr>
          <w:i/>
          <w:iCs/>
        </w:rPr>
        <w:t xml:space="preserve">tô’ēbāh</w:t>
      </w:r>
      <w:r>
        <w:t xml:space="preserve">) is applied consistently. The preacher who</w:t>
      </w:r>
      <w:r>
        <w:t xml:space="preserve"> </w:t>
      </w:r>
      <w:r>
        <w:t xml:space="preserve">“handles”</w:t>
      </w:r>
      <w:r>
        <w:t xml:space="preserve"> </w:t>
      </w:r>
      <w:r>
        <w:t xml:space="preserve">verse 22 with interpretive gymnastics while proclaiming every other verse with confidence has abandoned the text’s own voice.</w:t>
      </w:r>
    </w:p>
    <w:p>
      <w:pPr>
        <w:numPr>
          <w:ilvl w:val="0"/>
          <w:numId w:val="1002"/>
        </w:numPr>
      </w:pPr>
      <w:r>
        <w:rPr>
          <w:b/>
          <w:bCs/>
        </w:rPr>
        <w:t xml:space="preserve">Moralizing without grounding in the gospel indicative.</w:t>
      </w:r>
      <w:r>
        <w:t xml:space="preserve"> </w:t>
      </w:r>
      <w:r>
        <w:t xml:space="preserve">Leviticus 18 opens with</w:t>
      </w:r>
      <w:r>
        <w:t xml:space="preserve"> </w:t>
      </w:r>
      <w:r>
        <w:t xml:space="preserve">“I am the LORD your God who brought you out of Egypt”</w:t>
      </w:r>
      <w:r>
        <w:t xml:space="preserve"> </w:t>
      </w:r>
      <w:r>
        <w:t xml:space="preserve">— the exodus is the foundation of everything that follows. Preaching that reduces the chapter to</w:t>
      </w:r>
      <w:r>
        <w:t xml:space="preserve"> </w:t>
      </w:r>
      <w:r>
        <w:t xml:space="preserve">“here’s what God demands of you sexually”</w:t>
      </w:r>
      <w:r>
        <w:t xml:space="preserve"> </w:t>
      </w:r>
      <w:r>
        <w:t xml:space="preserve">without grounding those demands in the prior act of redemption will produce either crushing guilt or self-righteous comparison. The statutes are given to freed people, not to people working toward freedom. Reformed exposition must preserve this indicative-imperative sequence or the chapter will be preached as law without gospel.</w:t>
      </w:r>
    </w:p>
    <w:p>
      <w:pPr>
        <w:numPr>
          <w:ilvl w:val="0"/>
          <w:numId w:val="1002"/>
        </w:numPr>
      </w:pPr>
      <w:r>
        <w:rPr>
          <w:b/>
          <w:bCs/>
        </w:rPr>
        <w:t xml:space="preserve">Assuming the chapter’s concerns are</w:t>
      </w:r>
      <w:r>
        <w:rPr>
          <w:b/>
          <w:bCs/>
        </w:rPr>
        <w:t xml:space="preserve"> </w:t>
      </w:r>
      <w:r>
        <w:rPr>
          <w:b/>
          <w:bCs/>
        </w:rPr>
        <w:t xml:space="preserve">“Old Testament issues”</w:t>
      </w:r>
      <w:r>
        <w:rPr>
          <w:b/>
          <w:bCs/>
        </w:rPr>
        <w:t xml:space="preserve"> </w:t>
      </w:r>
      <w:r>
        <w:rPr>
          <w:b/>
          <w:bCs/>
        </w:rPr>
        <w:t xml:space="preserve">irrelevant to the New Covenant church.</w:t>
      </w:r>
      <w:r>
        <w:t xml:space="preserve"> </w:t>
      </w:r>
      <w:r>
        <w:t xml:space="preserve">The chapter’s own closing argument refutes this: the Canaanites were condemned for these practices before receiving any covenant legislation, which means the moral substance belongs to the creational order. Paul’s explicit citation and application of this material in 1 Corinthians 5–6 and Romans 1 confirms its continuing authority. Dismissing the chapter as</w:t>
      </w:r>
      <w:r>
        <w:t xml:space="preserve"> </w:t>
      </w:r>
      <w:r>
        <w:t xml:space="preserve">“Mosaic civil law”</w:t>
      </w:r>
      <w:r>
        <w:t xml:space="preserve"> </w:t>
      </w:r>
      <w:r>
        <w:t xml:space="preserve">loses both the text’s own logic and its canonical confirmation.</w:t>
      </w:r>
    </w:p>
    <w:p>
      <w:pPr>
        <w:numPr>
          <w:ilvl w:val="0"/>
          <w:numId w:val="1002"/>
        </w:numPr>
      </w:pPr>
      <w:r>
        <w:rPr>
          <w:b/>
          <w:bCs/>
        </w:rPr>
        <w:t xml:space="preserve">Ignoring the connection between Molech-worship (v. 21) and the surrounding sexual ethics.</w:t>
      </w:r>
      <w:r>
        <w:t xml:space="preserve"> </w:t>
      </w:r>
      <w:r>
        <w:t xml:space="preserve">Verse 21 sits in the middle of a chapter about sexual sin, and most expositors treat it as an interruption or a category error. It is neither. The biblical pattern — visible in Romans 1, in Hosea, in the prophetic literature throughout — is that sexual disorder and false worship are linked: the body follows what the heart worships. Preaching that omits or explains away verse 21 loses one of the chapter’s most important theological moves.</w:t>
      </w:r>
    </w:p>
    <w:p>
      <w:pPr>
        <w:numPr>
          <w:ilvl w:val="0"/>
          <w:numId w:val="1002"/>
        </w:numPr>
      </w:pPr>
      <w:r>
        <w:rPr>
          <w:b/>
          <w:bCs/>
        </w:rPr>
        <w:t xml:space="preserve">Preaching only condemnation without preaching the life-giving intent of the statutes.</w:t>
      </w:r>
      <w:r>
        <w:t xml:space="preserve"> </w:t>
      </w:r>
      <w:r>
        <w:t xml:space="preserve">Verse 5 says that the person who does these statutes</w:t>
      </w:r>
      <w:r>
        <w:t xml:space="preserve"> </w:t>
      </w:r>
      <w:r>
        <w:t xml:space="preserve">“shall live by them.”</w:t>
      </w:r>
      <w:r>
        <w:t xml:space="preserve"> </w:t>
      </w:r>
      <w:r>
        <w:t xml:space="preserve">This is a promise, not a taunt. Leviticus 18 is not primarily a chapter of threats — it is a chapter in which the LORD, who created the human body and instituted human relationships, tells His people the shape of the life they were made for. The closing image of the land vomiting out those who defile it is a warning, but the positive counterpart is that the land sustains and keeps those who honor the LORD’s order. Preach the defilement, but preach the life that the statutes offer.</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2026-07-14T21:01:41Z</dcterms:created>
  <dcterms:modified xsi:type="dcterms:W3CDTF">2026-07-14T21:01:41Z</dcterms:modified>
</cp:coreProperties>
</file>

<file path=docProps/custom.xml><?xml version="1.0" encoding="utf-8"?>
<Properties xmlns="http://schemas.openxmlformats.org/officeDocument/2006/custom-properties" xmlns:vt="http://schemas.openxmlformats.org/officeDocument/2006/docPropsVTypes"/>
</file>